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28E2" w14:textId="77777777" w:rsidR="00CC45B5" w:rsidRDefault="00CC45B5" w:rsidP="00CF5D0E"/>
    <w:p w14:paraId="79B9AFB6" w14:textId="77777777" w:rsidR="00892C3E" w:rsidRPr="00892C3E" w:rsidRDefault="00892C3E" w:rsidP="00892C3E">
      <w:pPr>
        <w:pStyle w:val="Title"/>
        <w:rPr>
          <w:b/>
          <w:bCs/>
          <w:kern w:val="0"/>
        </w:rPr>
      </w:pPr>
      <w:r w:rsidRPr="00892C3E">
        <w:rPr>
          <w:b/>
          <w:bCs/>
          <w:kern w:val="0"/>
        </w:rPr>
        <w:t>2026 DAC-GT Solicitation</w:t>
      </w:r>
    </w:p>
    <w:p w14:paraId="6396CBC1" w14:textId="77777777" w:rsidR="00892C3E" w:rsidRDefault="00892C3E" w:rsidP="00892C3E">
      <w:pPr>
        <w:pStyle w:val="Title"/>
        <w:rPr>
          <w:b/>
          <w:bCs/>
          <w:kern w:val="0"/>
        </w:rPr>
      </w:pPr>
      <w:r w:rsidRPr="00892C3E">
        <w:rPr>
          <w:b/>
          <w:bCs/>
          <w:kern w:val="0"/>
        </w:rPr>
        <w:t>FAQs</w:t>
      </w:r>
    </w:p>
    <w:p w14:paraId="58C2E34A" w14:textId="77777777" w:rsidR="00892C3E" w:rsidRPr="00892C3E" w:rsidRDefault="00892C3E" w:rsidP="00892C3E"/>
    <w:p w14:paraId="3C14BECA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 xml:space="preserve">Question: What version of </w:t>
      </w:r>
      <w:proofErr w:type="spellStart"/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CalEnviroScreen</w:t>
      </w:r>
      <w:proofErr w:type="spellEnd"/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 xml:space="preserve"> should be used to assess project eligibility?  </w:t>
      </w:r>
    </w:p>
    <w:p w14:paraId="02E8218E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 xml:space="preserve">Answer: Please use the </w:t>
      </w:r>
      <w:proofErr w:type="spellStart"/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CalEnviroScreen</w:t>
      </w:r>
      <w:proofErr w:type="spellEnd"/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 xml:space="preserve"> 4.0 tool to assess project eligibility.  </w:t>
      </w:r>
      <w:proofErr w:type="spellStart"/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CalEnviroScreen</w:t>
      </w:r>
      <w:proofErr w:type="spellEnd"/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 xml:space="preserve"> 5.0 is in draft form and should NOT be used to determine eligibility.  </w:t>
      </w:r>
    </w:p>
    <w:p w14:paraId="1E5BF3B8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</w:p>
    <w:p w14:paraId="48A196FD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Question: If a project is not in a CAISO cluster, should the field on the Offer Form be left blank?</w:t>
      </w:r>
    </w:p>
    <w:p w14:paraId="7A2A3AC7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Answer: yes</w:t>
      </w:r>
    </w:p>
    <w:p w14:paraId="411DE073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</w:p>
    <w:p w14:paraId="323874DE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Question: What is required for a project to have with the pollinator scorecard?</w:t>
      </w:r>
    </w:p>
    <w:p w14:paraId="3AE8415D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Answer: Pollinator habitat requirements are included in the Term Sheet.  Please see the Pollinator Scorecard posted with the solicitation materials on MCE’s website.</w:t>
      </w:r>
    </w:p>
    <w:p w14:paraId="7B206905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</w:p>
    <w:p w14:paraId="2569D5A9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Question: For the upcoming DAC-GT Application, are we able to receive a countersigned version of the NDA back?</w:t>
      </w:r>
    </w:p>
    <w:p w14:paraId="68367D26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Answer: The Procedural Overview &amp; Instructions document has information regarding confidentiality of offers.  MCE does not execute an NDA (confidentiality agreement) until after a project has been shortlisted.</w:t>
      </w:r>
    </w:p>
    <w:p w14:paraId="0D6C02F5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</w:p>
    <w:p w14:paraId="03BA36EA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Question: Does MCE require a project to have FCDS?</w:t>
      </w:r>
    </w:p>
    <w:p w14:paraId="19D9748B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 xml:space="preserve">Answer: Please refer to Procedural Overview &amp; Instructions document. MCE prefers projects with FCDS.  FCDS is required for all offers that contain storage.  </w:t>
      </w:r>
    </w:p>
    <w:p w14:paraId="4658C18D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</w:p>
    <w:p w14:paraId="56061BE2" w14:textId="77777777" w:rsidR="00892C3E" w:rsidRPr="00892C3E" w:rsidRDefault="00892C3E" w:rsidP="00892C3E">
      <w:pPr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</w:pPr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Question: Does a project need to be in MCE’s service territory to qualify?</w:t>
      </w:r>
    </w:p>
    <w:p w14:paraId="21E591E7" w14:textId="26C3B3D0" w:rsidR="00CF5D0E" w:rsidRPr="00CF5D0E" w:rsidRDefault="00892C3E" w:rsidP="00CF5D0E">
      <w:r w:rsidRPr="00892C3E">
        <w:rPr>
          <w:rFonts w:ascii="Avenir Next LT Pro Demi" w:eastAsiaTheme="majorEastAsia" w:hAnsi="Avenir Next LT Pro Demi" w:cstheme="majorBidi"/>
          <w:color w:val="006051" w:themeColor="accent1" w:themeShade="BF"/>
          <w:kern w:val="0"/>
          <w:szCs w:val="22"/>
        </w:rPr>
        <w:t>Answer: No.  Please see the Procedural Overview &amp; Instructions document for location requirements.</w:t>
      </w:r>
    </w:p>
    <w:sectPr w:rsidR="00CF5D0E" w:rsidRPr="00CF5D0E" w:rsidSect="00EC1015">
      <w:headerReference w:type="firs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A410" w14:textId="77777777" w:rsidR="00FD6B3F" w:rsidRDefault="00FD6B3F" w:rsidP="005C5560">
      <w:pPr>
        <w:spacing w:after="0" w:line="240" w:lineRule="auto"/>
      </w:pPr>
      <w:r>
        <w:separator/>
      </w:r>
    </w:p>
  </w:endnote>
  <w:endnote w:type="continuationSeparator" w:id="0">
    <w:p w14:paraId="212334BD" w14:textId="77777777" w:rsidR="00FD6B3F" w:rsidRDefault="00FD6B3F" w:rsidP="005C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E3B8" w14:textId="77777777" w:rsidR="00FD6B3F" w:rsidRDefault="00FD6B3F" w:rsidP="005C5560">
      <w:pPr>
        <w:spacing w:after="0" w:line="240" w:lineRule="auto"/>
      </w:pPr>
      <w:r>
        <w:separator/>
      </w:r>
    </w:p>
  </w:footnote>
  <w:footnote w:type="continuationSeparator" w:id="0">
    <w:p w14:paraId="408A2C26" w14:textId="77777777" w:rsidR="00FD6B3F" w:rsidRDefault="00FD6B3F" w:rsidP="005C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3AE7" w14:textId="54A3764B" w:rsidR="00BD38EF" w:rsidRDefault="00EC10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1DFE0798" wp14:editId="56CBE9E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504588627" name="image1.jpg" descr="A white background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588627" name="image1.jpg" descr="A white background with red and blue text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995"/>
    <w:multiLevelType w:val="hybridMultilevel"/>
    <w:tmpl w:val="735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E392A"/>
    <w:multiLevelType w:val="hybridMultilevel"/>
    <w:tmpl w:val="D34A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645918">
    <w:abstractNumId w:val="1"/>
  </w:num>
  <w:num w:numId="2" w16cid:durableId="23851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60"/>
    <w:rsid w:val="000370EE"/>
    <w:rsid w:val="000E5741"/>
    <w:rsid w:val="001639F2"/>
    <w:rsid w:val="00340C31"/>
    <w:rsid w:val="003C7A3B"/>
    <w:rsid w:val="00542D1B"/>
    <w:rsid w:val="005C5560"/>
    <w:rsid w:val="00623DE9"/>
    <w:rsid w:val="006E40EF"/>
    <w:rsid w:val="007B3798"/>
    <w:rsid w:val="00823C38"/>
    <w:rsid w:val="0086514C"/>
    <w:rsid w:val="00892C3E"/>
    <w:rsid w:val="008A60AB"/>
    <w:rsid w:val="008D36B3"/>
    <w:rsid w:val="009F518A"/>
    <w:rsid w:val="00A062D8"/>
    <w:rsid w:val="00A10859"/>
    <w:rsid w:val="00B25231"/>
    <w:rsid w:val="00BD38EF"/>
    <w:rsid w:val="00CC45B5"/>
    <w:rsid w:val="00CF5D0E"/>
    <w:rsid w:val="00DF2676"/>
    <w:rsid w:val="00EC1015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8025D"/>
  <w15:chartTrackingRefBased/>
  <w15:docId w15:val="{4E75EC96-A99C-40BA-BEEA-824A4138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60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798"/>
    <w:pPr>
      <w:keepNext/>
      <w:keepLines/>
      <w:spacing w:before="480" w:after="80" w:line="240" w:lineRule="auto"/>
      <w:outlineLvl w:val="0"/>
    </w:pPr>
    <w:rPr>
      <w:rFonts w:ascii="Avenir Next LT Pro Demi" w:eastAsiaTheme="majorEastAsia" w:hAnsi="Avenir Next LT Pro Demi" w:cstheme="majorBidi"/>
      <w:color w:val="00605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0EF"/>
    <w:pPr>
      <w:keepNext/>
      <w:keepLines/>
      <w:spacing w:before="160" w:after="80"/>
      <w:outlineLvl w:val="1"/>
    </w:pPr>
    <w:rPr>
      <w:rFonts w:ascii="Georgia" w:eastAsiaTheme="majorEastAsia" w:hAnsi="Georgia" w:cstheme="majorBidi"/>
      <w:b/>
      <w:bCs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0EF"/>
    <w:pPr>
      <w:keepNext/>
      <w:keepLines/>
      <w:spacing w:before="160" w:after="80"/>
      <w:outlineLvl w:val="2"/>
    </w:pPr>
    <w:rPr>
      <w:rFonts w:ascii="Georgia" w:eastAsiaTheme="majorEastAsia" w:hAnsi="Georgia" w:cstheme="majorBidi"/>
      <w:bCs/>
      <w:color w:val="00816D" w:themeColor="accen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C5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0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560"/>
    <w:pPr>
      <w:keepNext/>
      <w:keepLines/>
      <w:spacing w:before="80" w:after="40"/>
      <w:outlineLvl w:val="4"/>
    </w:pPr>
    <w:rPr>
      <w:rFonts w:eastAsiaTheme="majorEastAsia" w:cstheme="majorBidi"/>
      <w:color w:val="0060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798"/>
    <w:rPr>
      <w:rFonts w:ascii="Avenir Next LT Pro Demi" w:eastAsiaTheme="majorEastAsia" w:hAnsi="Avenir Next LT Pro Demi" w:cstheme="majorBidi"/>
      <w:color w:val="00605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0EF"/>
    <w:rPr>
      <w:rFonts w:ascii="Georgia" w:eastAsiaTheme="majorEastAsia" w:hAnsi="Georgia" w:cstheme="majorBidi"/>
      <w:b/>
      <w:bCs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40EF"/>
    <w:rPr>
      <w:rFonts w:ascii="Georgia" w:eastAsiaTheme="majorEastAsia" w:hAnsi="Georgia" w:cstheme="majorBidi"/>
      <w:bCs/>
      <w:color w:val="00816D" w:themeColor="accen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560"/>
    <w:rPr>
      <w:rFonts w:eastAsiaTheme="majorEastAsia" w:cstheme="majorBidi"/>
      <w:i/>
      <w:iCs/>
      <w:color w:val="0060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560"/>
    <w:rPr>
      <w:rFonts w:eastAsiaTheme="majorEastAsia" w:cstheme="majorBidi"/>
      <w:color w:val="0060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7B3798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7B3798"/>
    <w:rPr>
      <w:rFonts w:ascii="Avenir Next LT Pro Demi" w:eastAsiaTheme="majorEastAsia" w:hAnsi="Avenir Next LT Pro Demi" w:cstheme="majorBidi"/>
      <w:color w:val="006051" w:themeColor="accent1" w:themeShade="BF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E"/>
    <w:pPr>
      <w:numPr>
        <w:ilvl w:val="1"/>
      </w:numPr>
      <w:jc w:val="center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D0E"/>
    <w:rPr>
      <w:rFonts w:ascii="Avenir Next LT Pro" w:eastAsiaTheme="majorEastAsia" w:hAnsi="Avenir Next LT Pro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C5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C5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C5560"/>
    <w:rPr>
      <w:i/>
      <w:iCs/>
      <w:color w:val="0060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C5560"/>
    <w:pPr>
      <w:pBdr>
        <w:top w:val="single" w:sz="4" w:space="10" w:color="006051" w:themeColor="accent1" w:themeShade="BF"/>
        <w:bottom w:val="single" w:sz="4" w:space="10" w:color="006051" w:themeColor="accent1" w:themeShade="BF"/>
      </w:pBdr>
      <w:spacing w:before="360" w:after="360"/>
      <w:ind w:left="864" w:right="864"/>
      <w:jc w:val="center"/>
    </w:pPr>
    <w:rPr>
      <w:i/>
      <w:iCs/>
      <w:color w:val="0060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560"/>
    <w:rPr>
      <w:i/>
      <w:iCs/>
      <w:color w:val="006051" w:themeColor="accent1" w:themeShade="BF"/>
    </w:rPr>
  </w:style>
  <w:style w:type="character" w:styleId="IntenseReference">
    <w:name w:val="Intense Reference"/>
    <w:basedOn w:val="DefaultParagraphFont"/>
    <w:uiPriority w:val="32"/>
    <w:rsid w:val="005C5560"/>
    <w:rPr>
      <w:b/>
      <w:bCs/>
      <w:smallCaps/>
      <w:color w:val="006051" w:themeColor="accent1" w:themeShade="BF"/>
      <w:spacing w:val="5"/>
    </w:rPr>
  </w:style>
  <w:style w:type="paragraph" w:styleId="NoSpacing">
    <w:name w:val="No Spacing"/>
    <w:uiPriority w:val="1"/>
    <w:rsid w:val="005C5560"/>
    <w:pPr>
      <w:spacing w:after="0" w:line="240" w:lineRule="auto"/>
    </w:pPr>
    <w:rPr>
      <w:rFonts w:ascii="Avenir Next LT Pro" w:hAnsi="Avenir Next LT Pro"/>
      <w:sz w:val="22"/>
    </w:rPr>
  </w:style>
  <w:style w:type="paragraph" w:styleId="Header">
    <w:name w:val="header"/>
    <w:basedOn w:val="Normal"/>
    <w:link w:val="HeaderChar"/>
    <w:uiPriority w:val="99"/>
    <w:unhideWhenUsed/>
    <w:rsid w:val="005C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560"/>
    <w:rPr>
      <w:rFonts w:ascii="Avenir Next LT Pro" w:hAnsi="Avenir Next LT Pro"/>
      <w:sz w:val="22"/>
    </w:rPr>
  </w:style>
  <w:style w:type="paragraph" w:styleId="Footer">
    <w:name w:val="footer"/>
    <w:basedOn w:val="Normal"/>
    <w:link w:val="FooterChar"/>
    <w:uiPriority w:val="99"/>
    <w:unhideWhenUsed/>
    <w:rsid w:val="005C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560"/>
    <w:rPr>
      <w:rFonts w:ascii="Avenir Next LT Pro" w:hAnsi="Avenir Next LT Pro"/>
      <w:sz w:val="22"/>
    </w:rPr>
  </w:style>
  <w:style w:type="character" w:styleId="Hyperlink">
    <w:name w:val="Hyperlink"/>
    <w:basedOn w:val="DefaultParagraphFont"/>
    <w:uiPriority w:val="99"/>
    <w:unhideWhenUsed/>
    <w:rsid w:val="00CF5D0E"/>
    <w:rPr>
      <w:color w:val="80286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25282A"/>
      </a:dk2>
      <a:lt2>
        <a:srgbClr val="D9D9D6"/>
      </a:lt2>
      <a:accent1>
        <a:srgbClr val="00816D"/>
      </a:accent1>
      <a:accent2>
        <a:srgbClr val="004E42"/>
      </a:accent2>
      <a:accent3>
        <a:srgbClr val="165C7D"/>
      </a:accent3>
      <a:accent4>
        <a:srgbClr val="FF9E1B"/>
      </a:accent4>
      <a:accent5>
        <a:srgbClr val="EF426F"/>
      </a:accent5>
      <a:accent6>
        <a:srgbClr val="C7579A"/>
      </a:accent6>
      <a:hlink>
        <a:srgbClr val="80286C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Tenney</dc:creator>
  <cp:keywords/>
  <dc:description/>
  <cp:lastModifiedBy>Bill Pascoe</cp:lastModifiedBy>
  <cp:revision>3</cp:revision>
  <dcterms:created xsi:type="dcterms:W3CDTF">2026-03-19T17:15:00Z</dcterms:created>
  <dcterms:modified xsi:type="dcterms:W3CDTF">2026-03-19T17:16:00Z</dcterms:modified>
</cp:coreProperties>
</file>